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15BF18AE" w14:textId="6F5C5C20" w:rsidR="00AE341C" w:rsidRPr="00AE341C"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894533">
        <w:rPr>
          <w:rFonts w:ascii="Times New Roman" w:hAnsi="Times New Roman" w:cs="Times New Roman"/>
          <w:b/>
          <w:bCs/>
          <w:color w:val="000000"/>
          <w:sz w:val="24"/>
          <w:szCs w:val="24"/>
          <w:u w:val="single"/>
          <w:lang w:val="kk-KZ"/>
        </w:rPr>
        <w:t>химия және биология</w:t>
      </w:r>
      <w:r w:rsidRPr="00AE341C">
        <w:rPr>
          <w:rFonts w:ascii="Times New Roman" w:hAnsi="Times New Roman" w:cs="Times New Roman"/>
          <w:b/>
          <w:bCs/>
          <w:color w:val="000000"/>
          <w:sz w:val="24"/>
          <w:szCs w:val="24"/>
          <w:u w:val="single"/>
          <w:lang w:val="kk-KZ"/>
        </w:rPr>
        <w:t xml:space="preserve"> </w:t>
      </w:r>
      <w:r>
        <w:rPr>
          <w:rFonts w:ascii="Times New Roman" w:hAnsi="Times New Roman" w:cs="Times New Roman"/>
          <w:b/>
          <w:bCs/>
          <w:color w:val="000000"/>
          <w:sz w:val="24"/>
          <w:szCs w:val="24"/>
          <w:u w:val="single"/>
          <w:lang w:val="kk-KZ"/>
        </w:rPr>
        <w:t xml:space="preserve">оқытушысы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1 бірлік (В1-4 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43985489" w:rsidR="00B62688" w:rsidRDefault="006A212C"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7027CF0E" w:rsidR="00B62688" w:rsidRDefault="00AE341C">
            <w:pPr>
              <w:spacing w:line="240" w:lineRule="auto"/>
              <w:rPr>
                <w:rFonts w:ascii="Times New Roman" w:eastAsia="Times New Roman" w:hAnsi="Times New Roman" w:cs="Times New Roman"/>
                <w:sz w:val="24"/>
                <w:szCs w:val="24"/>
                <w:lang w:eastAsia="ru-RU"/>
              </w:rPr>
            </w:pPr>
            <w:r w:rsidRPr="006A212C">
              <w:rPr>
                <w:rFonts w:ascii="Times New Roman" w:eastAsia="Times New Roman" w:hAnsi="Times New Roman" w:cs="Times New Roman"/>
                <w:sz w:val="24"/>
                <w:szCs w:val="24"/>
                <w:lang w:val="kk-KZ" w:eastAsia="ru-RU"/>
              </w:rPr>
              <w:t>22</w:t>
            </w:r>
            <w:r w:rsidRPr="006A212C">
              <w:rPr>
                <w:rFonts w:ascii="Times New Roman" w:eastAsia="Times New Roman" w:hAnsi="Times New Roman" w:cs="Times New Roman"/>
                <w:sz w:val="24"/>
                <w:szCs w:val="24"/>
                <w:lang w:eastAsia="ru-RU"/>
              </w:rPr>
              <w:t>.08.202</w:t>
            </w:r>
            <w:r w:rsidRPr="006A212C">
              <w:rPr>
                <w:rFonts w:ascii="Times New Roman" w:eastAsia="Times New Roman" w:hAnsi="Times New Roman" w:cs="Times New Roman"/>
                <w:sz w:val="24"/>
                <w:szCs w:val="24"/>
                <w:lang w:val="kk-KZ" w:eastAsia="ru-RU"/>
              </w:rPr>
              <w:t>4 ж.</w:t>
            </w:r>
            <w:r w:rsidRPr="006A212C">
              <w:rPr>
                <w:rFonts w:ascii="Times New Roman" w:eastAsia="Times New Roman" w:hAnsi="Times New Roman" w:cs="Times New Roman"/>
                <w:sz w:val="24"/>
                <w:szCs w:val="24"/>
                <w:lang w:eastAsia="ru-RU"/>
              </w:rPr>
              <w:t xml:space="preserve"> - </w:t>
            </w:r>
            <w:r w:rsidRPr="006A212C">
              <w:rPr>
                <w:rFonts w:ascii="Times New Roman" w:eastAsia="Times New Roman" w:hAnsi="Times New Roman" w:cs="Times New Roman"/>
                <w:sz w:val="24"/>
                <w:szCs w:val="24"/>
                <w:lang w:val="kk-KZ" w:eastAsia="ru-RU"/>
              </w:rPr>
              <w:t>0</w:t>
            </w:r>
            <w:r w:rsidR="00E66089">
              <w:rPr>
                <w:rFonts w:ascii="Times New Roman" w:eastAsia="Times New Roman" w:hAnsi="Times New Roman" w:cs="Times New Roman"/>
                <w:sz w:val="24"/>
                <w:szCs w:val="24"/>
                <w:lang w:val="kk-KZ" w:eastAsia="ru-RU"/>
              </w:rPr>
              <w:t>3</w:t>
            </w:r>
            <w:r w:rsidRPr="006A212C">
              <w:rPr>
                <w:rFonts w:ascii="Times New Roman" w:eastAsia="Times New Roman" w:hAnsi="Times New Roman" w:cs="Times New Roman"/>
                <w:sz w:val="24"/>
                <w:szCs w:val="24"/>
                <w:lang w:eastAsia="ru-RU"/>
              </w:rPr>
              <w:t>.0</w:t>
            </w:r>
            <w:r w:rsidRPr="006A212C">
              <w:rPr>
                <w:rFonts w:ascii="Times New Roman" w:eastAsia="Times New Roman" w:hAnsi="Times New Roman" w:cs="Times New Roman"/>
                <w:sz w:val="24"/>
                <w:szCs w:val="24"/>
                <w:lang w:val="kk-KZ" w:eastAsia="ru-RU"/>
              </w:rPr>
              <w:t>9</w:t>
            </w:r>
            <w:r w:rsidRPr="006A212C">
              <w:rPr>
                <w:rFonts w:ascii="Times New Roman" w:eastAsia="Times New Roman" w:hAnsi="Times New Roman" w:cs="Times New Roman"/>
                <w:sz w:val="24"/>
                <w:szCs w:val="24"/>
                <w:lang w:eastAsia="ru-RU"/>
              </w:rPr>
              <w:t>.202</w:t>
            </w:r>
            <w:r w:rsidRPr="006A212C">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61D9DE5E" w:rsidR="00B62688" w:rsidRPr="00AE341C" w:rsidRDefault="00D0785E">
            <w:pPr>
              <w:spacing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val="kk-KZ"/>
              </w:rPr>
              <w:t xml:space="preserve">Химия және биология </w:t>
            </w:r>
            <w:r w:rsidR="00AE341C" w:rsidRPr="00AE341C">
              <w:rPr>
                <w:rFonts w:ascii="Times New Roman" w:hAnsi="Times New Roman" w:cs="Times New Roman"/>
                <w:color w:val="000000"/>
                <w:sz w:val="24"/>
                <w:szCs w:val="24"/>
                <w:lang w:val="kk-KZ"/>
              </w:rPr>
              <w:t>оқытушысы</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5E7E6F22" w:rsidR="00B62688" w:rsidRDefault="00000443">
            <w:pPr>
              <w:spacing w:line="240" w:lineRule="auto"/>
              <w:rPr>
                <w:rFonts w:ascii="Times New Roman" w:eastAsia="Times New Roman" w:hAnsi="Times New Roman" w:cs="Times New Roman"/>
                <w:sz w:val="24"/>
                <w:szCs w:val="24"/>
                <w:lang w:eastAsia="ru-RU"/>
              </w:rPr>
            </w:pPr>
            <w:r w:rsidRPr="009F5D5C">
              <w:rPr>
                <w:rFonts w:ascii="Times New Roman" w:eastAsia="Times New Roman" w:hAnsi="Times New Roman" w:cs="Times New Roman"/>
                <w:sz w:val="24"/>
                <w:szCs w:val="24"/>
                <w:lang w:val="kk-KZ" w:eastAsia="ru-RU"/>
              </w:rPr>
              <w:t>171300</w:t>
            </w:r>
            <w:r w:rsidRPr="009F5D5C">
              <w:rPr>
                <w:rFonts w:ascii="Times New Roman" w:eastAsia="Times New Roman" w:hAnsi="Times New Roman" w:cs="Times New Roman"/>
                <w:sz w:val="24"/>
                <w:szCs w:val="24"/>
                <w:lang w:eastAsia="ru-RU"/>
              </w:rPr>
              <w:t>-</w:t>
            </w:r>
            <w:r w:rsidRPr="009F5D5C">
              <w:rPr>
                <w:rFonts w:ascii="Times New Roman" w:eastAsia="Times New Roman" w:hAnsi="Times New Roman" w:cs="Times New Roman"/>
                <w:sz w:val="24"/>
                <w:szCs w:val="24"/>
                <w:lang w:val="kk-KZ" w:eastAsia="ru-RU"/>
              </w:rPr>
              <w:t>310104</w:t>
            </w:r>
            <w:r w:rsidRPr="009F5D5C">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 xml:space="preserve">білім алушылардың  жалпы мәдениетін және әлеуметін көтеру </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0"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0"/>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зерттеушілік дағдыларын қалыптастыруды қамтамасыз ету</w:t>
      </w:r>
      <w:bookmarkStart w:id="1" w:name="_Hlk111616933"/>
      <w:r w:rsidRPr="001E0FE1">
        <w:rPr>
          <w:rFonts w:ascii="Times New Roman" w:hAnsi="Times New Roman" w:cs="Times New Roman"/>
          <w:color w:val="000000"/>
          <w:sz w:val="24"/>
          <w:szCs w:val="24"/>
          <w:lang w:val="kk-KZ"/>
        </w:rPr>
        <w:t xml:space="preserve">,  </w:t>
      </w:r>
      <w:bookmarkStart w:id="2" w:name="_Hlk111618393"/>
      <w:bookmarkStart w:id="3"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 xml:space="preserve">облыстық деңгейде тәжірибе </w:t>
      </w:r>
      <w:r w:rsidR="003D6E3C" w:rsidRPr="001E0FE1">
        <w:rPr>
          <w:rFonts w:ascii="Times New Roman" w:hAnsi="Times New Roman" w:cs="Times New Roman"/>
          <w:color w:val="000000"/>
          <w:sz w:val="24"/>
          <w:szCs w:val="24"/>
          <w:lang w:val="kk-KZ"/>
        </w:rPr>
        <w:lastRenderedPageBreak/>
        <w:t>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2"/>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1"/>
      <w:bookmarkEnd w:id="3"/>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4"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2"/>
      <w:bookmarkEnd w:id="4"/>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3"/>
      <w:bookmarkEnd w:id="5"/>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7" w:name="z164"/>
      <w:bookmarkEnd w:id="6"/>
      <w:r w:rsidRPr="00BC265B">
        <w:rPr>
          <w:rFonts w:ascii="Times New Roman" w:hAnsi="Times New Roman" w:cs="Times New Roman"/>
          <w:color w:val="000000"/>
          <w:sz w:val="24"/>
          <w:szCs w:val="24"/>
          <w:lang w:val="kk-KZ"/>
        </w:rPr>
        <w:t xml:space="preserve">4) </w:t>
      </w:r>
      <w:bookmarkStart w:id="8" w:name="z165"/>
      <w:bookmarkEnd w:id="7"/>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9" w:name="z166"/>
      <w:bookmarkEnd w:id="8"/>
      <w:bookmarkEnd w:id="9"/>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0"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0"/>
    <w:p w14:paraId="777C2689" w14:textId="1D9C9FE5" w:rsidR="00BC265B" w:rsidRPr="00894533"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894533"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5"/>
        <w:gridCol w:w="10160"/>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77777777"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11" w:name="_Hlk111205669"/>
      <w:r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Ұсыныс хат (Конкурсты өз бетінше жариялаған білім беру ұйымы соңғы жұмыс/оқу орны бойынша </w:t>
            </w:r>
            <w:r w:rsidRPr="00AC5A9F">
              <w:rPr>
                <w:color w:val="000000"/>
                <w:spacing w:val="2"/>
              </w:rPr>
              <w:lastRenderedPageBreak/>
              <w:t>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E66089"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r>
            <w:r w:rsidRPr="00AC5A9F">
              <w:rPr>
                <w:color w:val="000000"/>
                <w:spacing w:val="2"/>
                <w:lang w:val="en-US"/>
              </w:rPr>
              <w:lastRenderedPageBreak/>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r>
            <w:r w:rsidRPr="00AC5A9F">
              <w:rPr>
                <w:color w:val="000000"/>
                <w:spacing w:val="2"/>
                <w:lang w:val="en-US"/>
              </w:rPr>
              <w:lastRenderedPageBreak/>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1"/>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49E82BFA" w14:textId="6AEC0370"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357C35">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lastRenderedPageBreak/>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9C37F0" w14:textId="2531CEF6" w:rsidR="00357C35" w:rsidRPr="00357C35" w:rsidRDefault="00357C35" w:rsidP="00357C35">
      <w:pPr>
        <w:spacing w:after="0" w:line="240" w:lineRule="auto"/>
        <w:jc w:val="center"/>
        <w:rPr>
          <w:rFonts w:ascii="Times New Roman" w:eastAsia="Times New Roman" w:hAnsi="Times New Roman" w:cs="Times New Roman"/>
          <w:b/>
          <w:bCs/>
          <w:sz w:val="24"/>
          <w:szCs w:val="24"/>
          <w:u w:val="single"/>
          <w:lang w:eastAsia="ru-RU"/>
        </w:rPr>
      </w:pPr>
      <w:r w:rsidRPr="00357C35">
        <w:rPr>
          <w:rFonts w:ascii="Times New Roman" w:eastAsia="Times New Roman" w:hAnsi="Times New Roman" w:cs="Times New Roman"/>
          <w:b/>
          <w:bCs/>
          <w:sz w:val="24"/>
          <w:szCs w:val="24"/>
          <w:u w:val="single"/>
          <w:lang w:val="kk-KZ" w:eastAsia="ru-RU"/>
        </w:rPr>
        <w:t xml:space="preserve">преподавателя </w:t>
      </w:r>
      <w:r w:rsidR="00894533">
        <w:rPr>
          <w:rFonts w:ascii="Times New Roman" w:eastAsia="Times New Roman" w:hAnsi="Times New Roman" w:cs="Times New Roman"/>
          <w:b/>
          <w:bCs/>
          <w:sz w:val="24"/>
          <w:szCs w:val="24"/>
          <w:u w:val="single"/>
          <w:lang w:val="kk-KZ" w:eastAsia="ru-RU"/>
        </w:rPr>
        <w:t>химии и биологии</w:t>
      </w:r>
      <w:r w:rsidRPr="00357C35">
        <w:rPr>
          <w:rFonts w:ascii="Times New Roman" w:eastAsia="Times New Roman" w:hAnsi="Times New Roman" w:cs="Times New Roman"/>
          <w:b/>
          <w:bCs/>
          <w:color w:val="000000"/>
          <w:sz w:val="24"/>
          <w:szCs w:val="24"/>
          <w:u w:val="single"/>
          <w:lang w:eastAsia="ru-RU"/>
        </w:rPr>
        <w:t xml:space="preserve">  </w:t>
      </w:r>
      <w:r w:rsidRPr="00357C35">
        <w:rPr>
          <w:rFonts w:ascii="Times New Roman" w:hAnsi="Times New Roman" w:cs="Times New Roman"/>
          <w:b/>
          <w:bCs/>
          <w:color w:val="000000"/>
          <w:sz w:val="24"/>
          <w:szCs w:val="24"/>
          <w:u w:val="single"/>
          <w:shd w:val="clear" w:color="auto" w:fill="FFFFFF"/>
        </w:rPr>
        <w:t>– 1 единица</w:t>
      </w:r>
      <w:r w:rsidRPr="00357C35">
        <w:rPr>
          <w:rFonts w:ascii="Times New Roman" w:hAnsi="Times New Roman" w:cs="Times New Roman"/>
          <w:b/>
          <w:bCs/>
          <w:color w:val="000000"/>
          <w:sz w:val="24"/>
          <w:szCs w:val="24"/>
          <w:u w:val="single"/>
          <w:shd w:val="clear" w:color="auto" w:fill="FFFFFF"/>
          <w:lang w:val="kk-KZ"/>
        </w:rPr>
        <w:t xml:space="preserve"> </w:t>
      </w:r>
      <w:r w:rsidRPr="00357C35">
        <w:rPr>
          <w:rFonts w:ascii="Times New Roman" w:eastAsia="Times New Roman" w:hAnsi="Times New Roman" w:cs="Times New Roman"/>
          <w:b/>
          <w:bCs/>
          <w:color w:val="000000"/>
          <w:sz w:val="24"/>
          <w:szCs w:val="24"/>
          <w:u w:val="single"/>
          <w:lang w:eastAsia="ru-RU"/>
        </w:rPr>
        <w:t xml:space="preserve"> (категория В1-4)</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3C6469C7" w:rsidR="001117E0" w:rsidRDefault="008D1FE1"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0E5C274B" w:rsidR="001117E0" w:rsidRPr="00360D11" w:rsidRDefault="00360D11">
            <w:pPr>
              <w:spacing w:line="240" w:lineRule="auto"/>
              <w:rPr>
                <w:rFonts w:ascii="Times New Roman" w:eastAsia="Times New Roman" w:hAnsi="Times New Roman" w:cs="Times New Roman"/>
                <w:sz w:val="24"/>
                <w:szCs w:val="24"/>
                <w:lang w:val="kk-KZ" w:eastAsia="ru-RU"/>
              </w:rPr>
            </w:pPr>
            <w:r w:rsidRPr="008D1FE1">
              <w:rPr>
                <w:rFonts w:ascii="Times New Roman" w:eastAsia="Times New Roman" w:hAnsi="Times New Roman" w:cs="Times New Roman"/>
                <w:sz w:val="24"/>
                <w:szCs w:val="24"/>
                <w:lang w:val="kk-KZ" w:eastAsia="ru-RU"/>
              </w:rPr>
              <w:t>2</w:t>
            </w:r>
            <w:r w:rsidR="00357C35" w:rsidRPr="008D1FE1">
              <w:rPr>
                <w:rFonts w:ascii="Times New Roman" w:eastAsia="Times New Roman" w:hAnsi="Times New Roman" w:cs="Times New Roman"/>
                <w:sz w:val="24"/>
                <w:szCs w:val="24"/>
                <w:lang w:val="kk-KZ" w:eastAsia="ru-RU"/>
              </w:rPr>
              <w:t>2</w:t>
            </w:r>
            <w:r w:rsidR="001117E0" w:rsidRPr="008D1FE1">
              <w:rPr>
                <w:rFonts w:ascii="Times New Roman" w:eastAsia="Times New Roman" w:hAnsi="Times New Roman" w:cs="Times New Roman"/>
                <w:sz w:val="24"/>
                <w:szCs w:val="24"/>
                <w:lang w:eastAsia="ru-RU"/>
              </w:rPr>
              <w:t>.08.202</w:t>
            </w:r>
            <w:r w:rsidRPr="008D1FE1">
              <w:rPr>
                <w:rFonts w:ascii="Times New Roman" w:eastAsia="Times New Roman" w:hAnsi="Times New Roman" w:cs="Times New Roman"/>
                <w:sz w:val="24"/>
                <w:szCs w:val="24"/>
                <w:lang w:val="kk-KZ" w:eastAsia="ru-RU"/>
              </w:rPr>
              <w:t>4 г.</w:t>
            </w:r>
            <w:r w:rsidR="001117E0" w:rsidRPr="008D1FE1">
              <w:rPr>
                <w:rFonts w:ascii="Times New Roman" w:eastAsia="Times New Roman" w:hAnsi="Times New Roman" w:cs="Times New Roman"/>
                <w:sz w:val="24"/>
                <w:szCs w:val="24"/>
                <w:lang w:eastAsia="ru-RU"/>
              </w:rPr>
              <w:t xml:space="preserve"> - </w:t>
            </w:r>
            <w:r w:rsidRPr="008D1FE1">
              <w:rPr>
                <w:rFonts w:ascii="Times New Roman" w:eastAsia="Times New Roman" w:hAnsi="Times New Roman" w:cs="Times New Roman"/>
                <w:sz w:val="24"/>
                <w:szCs w:val="24"/>
                <w:lang w:val="kk-KZ" w:eastAsia="ru-RU"/>
              </w:rPr>
              <w:t>0</w:t>
            </w:r>
            <w:r w:rsidR="00E66089">
              <w:rPr>
                <w:rFonts w:ascii="Times New Roman" w:eastAsia="Times New Roman" w:hAnsi="Times New Roman" w:cs="Times New Roman"/>
                <w:sz w:val="24"/>
                <w:szCs w:val="24"/>
                <w:lang w:val="kk-KZ" w:eastAsia="ru-RU"/>
              </w:rPr>
              <w:t>3</w:t>
            </w:r>
            <w:bookmarkStart w:id="12" w:name="_GoBack"/>
            <w:bookmarkEnd w:id="12"/>
            <w:r w:rsidR="001117E0" w:rsidRPr="008D1FE1">
              <w:rPr>
                <w:rFonts w:ascii="Times New Roman" w:eastAsia="Times New Roman" w:hAnsi="Times New Roman" w:cs="Times New Roman"/>
                <w:sz w:val="24"/>
                <w:szCs w:val="24"/>
                <w:lang w:eastAsia="ru-RU"/>
              </w:rPr>
              <w:t>.0</w:t>
            </w:r>
            <w:r w:rsidRPr="008D1FE1">
              <w:rPr>
                <w:rFonts w:ascii="Times New Roman" w:eastAsia="Times New Roman" w:hAnsi="Times New Roman" w:cs="Times New Roman"/>
                <w:sz w:val="24"/>
                <w:szCs w:val="24"/>
                <w:lang w:val="kk-KZ" w:eastAsia="ru-RU"/>
              </w:rPr>
              <w:t>9</w:t>
            </w:r>
            <w:r w:rsidR="001117E0" w:rsidRPr="008D1FE1">
              <w:rPr>
                <w:rFonts w:ascii="Times New Roman" w:eastAsia="Times New Roman" w:hAnsi="Times New Roman" w:cs="Times New Roman"/>
                <w:sz w:val="24"/>
                <w:szCs w:val="24"/>
                <w:lang w:eastAsia="ru-RU"/>
              </w:rPr>
              <w:t>.202</w:t>
            </w:r>
            <w:r w:rsidRPr="008D1FE1">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251C400D" w:rsidR="001117E0" w:rsidRPr="001E3AA6" w:rsidRDefault="001117E0">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Преподаватель  </w:t>
            </w:r>
            <w:r w:rsidR="00D0785E">
              <w:rPr>
                <w:rFonts w:ascii="Times New Roman" w:eastAsia="Times New Roman" w:hAnsi="Times New Roman" w:cs="Times New Roman"/>
                <w:sz w:val="24"/>
                <w:szCs w:val="24"/>
                <w:lang w:val="kk-KZ" w:eastAsia="ru-RU"/>
              </w:rPr>
              <w:t>химии и биологии</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50CCB15F" w:rsidR="001117E0" w:rsidRDefault="00533E11">
            <w:pPr>
              <w:spacing w:line="240" w:lineRule="auto"/>
              <w:rPr>
                <w:rFonts w:ascii="Times New Roman" w:eastAsia="Times New Roman" w:hAnsi="Times New Roman" w:cs="Times New Roman"/>
                <w:sz w:val="24"/>
                <w:szCs w:val="24"/>
                <w:lang w:eastAsia="ru-RU"/>
              </w:rPr>
            </w:pPr>
            <w:r w:rsidRPr="008D1FE1">
              <w:rPr>
                <w:rFonts w:ascii="Times New Roman" w:eastAsia="Times New Roman" w:hAnsi="Times New Roman" w:cs="Times New Roman"/>
                <w:sz w:val="24"/>
                <w:szCs w:val="24"/>
                <w:lang w:val="kk-KZ" w:eastAsia="ru-RU"/>
              </w:rPr>
              <w:t>171300</w:t>
            </w:r>
            <w:r w:rsidRPr="008D1FE1">
              <w:rPr>
                <w:rFonts w:ascii="Times New Roman" w:eastAsia="Times New Roman" w:hAnsi="Times New Roman" w:cs="Times New Roman"/>
                <w:sz w:val="24"/>
                <w:szCs w:val="24"/>
                <w:lang w:eastAsia="ru-RU"/>
              </w:rPr>
              <w:t>-</w:t>
            </w:r>
            <w:r w:rsidRPr="008D1FE1">
              <w:rPr>
                <w:rFonts w:ascii="Times New Roman" w:eastAsia="Times New Roman" w:hAnsi="Times New Roman" w:cs="Times New Roman"/>
                <w:sz w:val="24"/>
                <w:szCs w:val="24"/>
                <w:lang w:val="kk-KZ" w:eastAsia="ru-RU"/>
              </w:rPr>
              <w:t>310104</w:t>
            </w:r>
            <w:r w:rsidRPr="008D1FE1">
              <w:rPr>
                <w:rFonts w:ascii="Times New Roman" w:eastAsia="Times New Roman" w:hAnsi="Times New Roman" w:cs="Times New Roman"/>
                <w:sz w:val="24"/>
                <w:szCs w:val="24"/>
                <w:lang w:eastAsia="ru-RU"/>
              </w:rPr>
              <w:t xml:space="preserve"> тенге (часы по тарификации</w:t>
            </w:r>
            <w:r w:rsidRPr="008D1FE1">
              <w:rPr>
                <w:rFonts w:ascii="Times New Roman" w:eastAsia="Times New Roman" w:hAnsi="Times New Roman" w:cs="Times New Roman"/>
                <w:sz w:val="24"/>
                <w:szCs w:val="24"/>
                <w:lang w:val="kk-KZ" w:eastAsia="ru-RU"/>
              </w:rPr>
              <w:t>,</w:t>
            </w:r>
            <w:r w:rsidRPr="008D1FE1">
              <w:t xml:space="preserve"> </w:t>
            </w:r>
            <w:r w:rsidRPr="008D1FE1">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lastRenderedPageBreak/>
        <w:t>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4"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5"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6"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w:t>
      </w:r>
      <w:r w:rsidRPr="009E5084">
        <w:rPr>
          <w:color w:val="000000"/>
          <w:spacing w:val="2"/>
        </w:rPr>
        <w:lastRenderedPageBreak/>
        <w:t>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7"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5"/>
        <w:gridCol w:w="10160"/>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77777777"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77777777"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00443"/>
    <w:rsid w:val="00021A21"/>
    <w:rsid w:val="0005708B"/>
    <w:rsid w:val="0008176A"/>
    <w:rsid w:val="00093B76"/>
    <w:rsid w:val="000B3398"/>
    <w:rsid w:val="000B7594"/>
    <w:rsid w:val="000C320A"/>
    <w:rsid w:val="000C3AD5"/>
    <w:rsid w:val="001117E0"/>
    <w:rsid w:val="00124368"/>
    <w:rsid w:val="00136239"/>
    <w:rsid w:val="00152ED4"/>
    <w:rsid w:val="00160992"/>
    <w:rsid w:val="001653BB"/>
    <w:rsid w:val="00166300"/>
    <w:rsid w:val="00193A55"/>
    <w:rsid w:val="001C07D6"/>
    <w:rsid w:val="001E0FE1"/>
    <w:rsid w:val="001E3AA6"/>
    <w:rsid w:val="00205359"/>
    <w:rsid w:val="00270DE4"/>
    <w:rsid w:val="002B1CB4"/>
    <w:rsid w:val="002D470B"/>
    <w:rsid w:val="00312DBB"/>
    <w:rsid w:val="00352A20"/>
    <w:rsid w:val="00357C35"/>
    <w:rsid w:val="00360D11"/>
    <w:rsid w:val="003D54C5"/>
    <w:rsid w:val="003D6E3C"/>
    <w:rsid w:val="00402AF5"/>
    <w:rsid w:val="00465347"/>
    <w:rsid w:val="004658A1"/>
    <w:rsid w:val="00470AB4"/>
    <w:rsid w:val="00471A7D"/>
    <w:rsid w:val="004B6FF9"/>
    <w:rsid w:val="004F64AB"/>
    <w:rsid w:val="00506102"/>
    <w:rsid w:val="005141F7"/>
    <w:rsid w:val="00533E11"/>
    <w:rsid w:val="00546934"/>
    <w:rsid w:val="005577B4"/>
    <w:rsid w:val="00564649"/>
    <w:rsid w:val="00573311"/>
    <w:rsid w:val="00583F71"/>
    <w:rsid w:val="005953A9"/>
    <w:rsid w:val="005A3AE2"/>
    <w:rsid w:val="005E1BBD"/>
    <w:rsid w:val="005F4D30"/>
    <w:rsid w:val="00600DC2"/>
    <w:rsid w:val="00635DE1"/>
    <w:rsid w:val="006A212C"/>
    <w:rsid w:val="006A3A6C"/>
    <w:rsid w:val="006F288D"/>
    <w:rsid w:val="00701E14"/>
    <w:rsid w:val="00707E13"/>
    <w:rsid w:val="00722192"/>
    <w:rsid w:val="0078729B"/>
    <w:rsid w:val="00797CE8"/>
    <w:rsid w:val="007C0872"/>
    <w:rsid w:val="008068FC"/>
    <w:rsid w:val="008261BA"/>
    <w:rsid w:val="00852711"/>
    <w:rsid w:val="00894533"/>
    <w:rsid w:val="00894A49"/>
    <w:rsid w:val="008D1FE1"/>
    <w:rsid w:val="008D69DD"/>
    <w:rsid w:val="008E44D8"/>
    <w:rsid w:val="009019A8"/>
    <w:rsid w:val="009E5084"/>
    <w:rsid w:val="009E54F6"/>
    <w:rsid w:val="00A14028"/>
    <w:rsid w:val="00A64851"/>
    <w:rsid w:val="00A70F06"/>
    <w:rsid w:val="00A7306C"/>
    <w:rsid w:val="00A76AAD"/>
    <w:rsid w:val="00A94C74"/>
    <w:rsid w:val="00AC5A9F"/>
    <w:rsid w:val="00AE341C"/>
    <w:rsid w:val="00B21AB1"/>
    <w:rsid w:val="00B43FCB"/>
    <w:rsid w:val="00B51081"/>
    <w:rsid w:val="00B62688"/>
    <w:rsid w:val="00B6314A"/>
    <w:rsid w:val="00BC265B"/>
    <w:rsid w:val="00BF2DA2"/>
    <w:rsid w:val="00C46ACD"/>
    <w:rsid w:val="00CC4DD0"/>
    <w:rsid w:val="00D0785E"/>
    <w:rsid w:val="00D520F2"/>
    <w:rsid w:val="00D60BC6"/>
    <w:rsid w:val="00D75C44"/>
    <w:rsid w:val="00D820D6"/>
    <w:rsid w:val="00DA63C1"/>
    <w:rsid w:val="00DD696D"/>
    <w:rsid w:val="00DE0D52"/>
    <w:rsid w:val="00E30490"/>
    <w:rsid w:val="00E62784"/>
    <w:rsid w:val="00E66089"/>
    <w:rsid w:val="00E70609"/>
    <w:rsid w:val="00EB1C14"/>
    <w:rsid w:val="00F208EB"/>
    <w:rsid w:val="00F42905"/>
    <w:rsid w:val="00F9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10" Type="http://schemas.openxmlformats.org/officeDocument/2006/relationships/theme" Target="theme/theme1.xml"/><Relationship Id="rId4" Type="http://schemas.openxmlformats.org/officeDocument/2006/relationships/hyperlink" Target="https://adilet.zan.kz/rus/docs/V12000074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6153</Words>
  <Characters>35073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Курманалиева Назгуль Куспановна</cp:lastModifiedBy>
  <cp:revision>9</cp:revision>
  <cp:lastPrinted>2022-08-24T07:49:00Z</cp:lastPrinted>
  <dcterms:created xsi:type="dcterms:W3CDTF">2024-08-22T10:14:00Z</dcterms:created>
  <dcterms:modified xsi:type="dcterms:W3CDTF">2024-08-23T05:50:00Z</dcterms:modified>
</cp:coreProperties>
</file>